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A5" w:rsidRDefault="009B0D96">
      <w:pPr>
        <w:pStyle w:val="30"/>
        <w:shd w:val="clear" w:color="auto" w:fill="auto"/>
        <w:spacing w:after="55" w:line="220" w:lineRule="exact"/>
      </w:pPr>
      <w:r>
        <w:t>В Арбитражный суд Алтайского края</w:t>
      </w:r>
    </w:p>
    <w:p w:rsidR="00B73EA5" w:rsidRDefault="009B0D96">
      <w:pPr>
        <w:pStyle w:val="40"/>
        <w:shd w:val="clear" w:color="auto" w:fill="auto"/>
        <w:spacing w:before="0" w:after="235" w:line="220" w:lineRule="exact"/>
        <w:ind w:firstLine="0"/>
      </w:pPr>
      <w:r>
        <w:t>656015, г. Барнаул, пр. Ленина, 76</w:t>
      </w:r>
    </w:p>
    <w:p w:rsidR="00B73EA5" w:rsidRDefault="009B0D96">
      <w:pPr>
        <w:pStyle w:val="40"/>
        <w:shd w:val="clear" w:color="auto" w:fill="auto"/>
        <w:tabs>
          <w:tab w:val="left" w:pos="8487"/>
        </w:tabs>
        <w:spacing w:before="0" w:after="0" w:line="295" w:lineRule="exact"/>
        <w:ind w:left="5120"/>
        <w:jc w:val="left"/>
      </w:pPr>
      <w:r>
        <w:rPr>
          <w:rStyle w:val="41"/>
        </w:rPr>
        <w:t xml:space="preserve">Истец: </w:t>
      </w:r>
      <w:r>
        <w:t>Общество с ограниченной ответственностью</w:t>
      </w:r>
      <w:r>
        <w:tab/>
        <w:t>«РУЛЬФ»</w:t>
      </w:r>
    </w:p>
    <w:p w:rsidR="00B73EA5" w:rsidRDefault="009B0D96">
      <w:pPr>
        <w:pStyle w:val="40"/>
        <w:shd w:val="clear" w:color="auto" w:fill="auto"/>
        <w:spacing w:before="0" w:after="240" w:line="295" w:lineRule="exact"/>
        <w:ind w:left="2840" w:firstLine="0"/>
      </w:pPr>
      <w:r>
        <w:rPr>
          <w:rStyle w:val="42"/>
        </w:rPr>
        <w:t xml:space="preserve">115191. г. Москва, ул. 2-я Рощинская, д. 10 </w:t>
      </w:r>
      <w:r>
        <w:t xml:space="preserve">ОГРН 1117746229545, ИНН 7715858424 Тел.: 8(495) 954-96-40 </w:t>
      </w:r>
      <w:r>
        <w:rPr>
          <w:lang w:val="en-US" w:eastAsia="en-US" w:bidi="en-US"/>
        </w:rPr>
        <w:t>e</w:t>
      </w:r>
      <w:r w:rsidRPr="00CD36B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D36B5">
        <w:rPr>
          <w:lang w:eastAsia="en-US" w:bidi="en-US"/>
        </w:rPr>
        <w:t xml:space="preserve">: </w:t>
      </w:r>
      <w:r>
        <w:rPr>
          <w:rStyle w:val="42"/>
          <w:lang w:val="en-US" w:eastAsia="en-US" w:bidi="en-US"/>
        </w:rPr>
        <w:t>r</w:t>
      </w:r>
      <w:r w:rsidRPr="00CD36B5">
        <w:rPr>
          <w:rStyle w:val="42"/>
          <w:lang w:eastAsia="en-US" w:bidi="en-US"/>
        </w:rPr>
        <w:t>.</w:t>
      </w:r>
      <w:r>
        <w:rPr>
          <w:rStyle w:val="42"/>
          <w:lang w:val="en-US" w:eastAsia="en-US" w:bidi="en-US"/>
        </w:rPr>
        <w:t>rukavitsvn</w:t>
      </w:r>
      <w:r w:rsidRPr="00CD36B5">
        <w:rPr>
          <w:rStyle w:val="42"/>
          <w:lang w:eastAsia="en-US" w:bidi="en-US"/>
        </w:rPr>
        <w:t xml:space="preserve"> </w:t>
      </w:r>
      <w:r>
        <w:rPr>
          <w:rStyle w:val="42"/>
          <w:lang w:val="en-US" w:eastAsia="en-US" w:bidi="en-US"/>
        </w:rPr>
        <w:t>rulf</w:t>
      </w:r>
      <w:r w:rsidRPr="00CD36B5">
        <w:rPr>
          <w:rStyle w:val="42"/>
          <w:lang w:eastAsia="en-US" w:bidi="en-US"/>
        </w:rPr>
        <w:t>-</w:t>
      </w:r>
      <w:r>
        <w:rPr>
          <w:rStyle w:val="42"/>
          <w:lang w:val="en-US" w:eastAsia="en-US" w:bidi="en-US"/>
        </w:rPr>
        <w:t>law</w:t>
      </w:r>
      <w:r w:rsidRPr="00CD36B5">
        <w:rPr>
          <w:rStyle w:val="42"/>
          <w:lang w:eastAsia="en-US" w:bidi="en-US"/>
        </w:rPr>
        <w:t>.</w:t>
      </w:r>
      <w:r>
        <w:rPr>
          <w:rStyle w:val="42"/>
          <w:lang w:val="en-US" w:eastAsia="en-US" w:bidi="en-US"/>
        </w:rPr>
        <w:t>com</w:t>
      </w:r>
    </w:p>
    <w:p w:rsidR="00B73EA5" w:rsidRDefault="009B0D96">
      <w:pPr>
        <w:pStyle w:val="40"/>
        <w:shd w:val="clear" w:color="auto" w:fill="auto"/>
        <w:tabs>
          <w:tab w:val="left" w:pos="3810"/>
        </w:tabs>
        <w:spacing w:before="0" w:after="0" w:line="295" w:lineRule="exact"/>
        <w:ind w:left="3180" w:firstLine="920"/>
        <w:jc w:val="left"/>
      </w:pPr>
      <w:r>
        <w:rPr>
          <w:rStyle w:val="41"/>
        </w:rPr>
        <w:t xml:space="preserve">Ответчик: </w:t>
      </w:r>
      <w:r>
        <w:t>Общество с ограниченной ответственностью</w:t>
      </w:r>
      <w:r w:rsidR="00CD36B5">
        <w:t xml:space="preserve"> «ИЗДАТЕЛЬСКИЙ ДОМ «АЛТАПРЕСС» </w:t>
      </w:r>
      <w:r>
        <w:rPr>
          <w:rStyle w:val="42"/>
        </w:rPr>
        <w:t>656000. Алтайский Край, г. Барнаул. Короленко Улица. 105</w:t>
      </w:r>
    </w:p>
    <w:p w:rsidR="00B73EA5" w:rsidRDefault="009B0D96">
      <w:pPr>
        <w:pStyle w:val="40"/>
        <w:shd w:val="clear" w:color="auto" w:fill="auto"/>
        <w:spacing w:before="0" w:after="297" w:line="292" w:lineRule="exact"/>
        <w:ind w:left="2840" w:firstLine="0"/>
      </w:pPr>
      <w:r>
        <w:t>ОГРН 1022201769721, ИНН 2225017254, КПП 222501001.</w:t>
      </w:r>
    </w:p>
    <w:p w:rsidR="00B73EA5" w:rsidRDefault="009B0D96">
      <w:pPr>
        <w:pStyle w:val="30"/>
        <w:shd w:val="clear" w:color="auto" w:fill="auto"/>
        <w:spacing w:after="48" w:line="220" w:lineRule="exact"/>
      </w:pPr>
      <w:r>
        <w:t>Цена иска: 1 200 000 (один миллион двести тысяч)</w:t>
      </w:r>
    </w:p>
    <w:p w:rsidR="00B73EA5" w:rsidRDefault="009B0D96">
      <w:pPr>
        <w:pStyle w:val="30"/>
        <w:shd w:val="clear" w:color="auto" w:fill="auto"/>
        <w:spacing w:after="171" w:line="220" w:lineRule="exact"/>
      </w:pPr>
      <w:r>
        <w:t>руб</w:t>
      </w:r>
      <w:r>
        <w:t>лей 00 копеек</w:t>
      </w:r>
    </w:p>
    <w:p w:rsidR="00B73EA5" w:rsidRDefault="009B0D96">
      <w:pPr>
        <w:pStyle w:val="30"/>
        <w:shd w:val="clear" w:color="auto" w:fill="auto"/>
        <w:spacing w:after="300" w:line="220" w:lineRule="exact"/>
      </w:pPr>
      <w:r>
        <w:t>Государственная пошлина: 25 000 (двадцать пять тысяч) рублей.</w:t>
      </w:r>
    </w:p>
    <w:p w:rsidR="00B73EA5" w:rsidRDefault="009B0D96">
      <w:pPr>
        <w:pStyle w:val="50"/>
        <w:shd w:val="clear" w:color="auto" w:fill="auto"/>
        <w:spacing w:before="0" w:after="49" w:line="240" w:lineRule="exact"/>
      </w:pPr>
      <w:r>
        <w:t>ИСКОВОЕ ЗАЯВЛЕНИЕ</w:t>
      </w:r>
    </w:p>
    <w:p w:rsidR="00B73EA5" w:rsidRDefault="009B0D96">
      <w:pPr>
        <w:pStyle w:val="20"/>
        <w:shd w:val="clear" w:color="auto" w:fill="auto"/>
        <w:spacing w:before="0" w:after="239" w:line="240" w:lineRule="exact"/>
      </w:pPr>
      <w:r>
        <w:t>о защите исключительных прав правообладателя и выплате денежной компенсации</w:t>
      </w:r>
    </w:p>
    <w:p w:rsidR="00B73EA5" w:rsidRDefault="009B0D96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 xml:space="preserve">ООО «РУЛЬФ» на основании договора об отчуждении исключительного права № 126-06-11 от </w:t>
      </w:r>
      <w:r>
        <w:t>01 июня 2011 г. (далее - Договор) принадлежат исключительные права на произведение изобразительного искусства - картину «Масленица. Проводы зимы. XVII век» 2001 г. (далее - Произведение), написанную художником Кожиным С.Л.</w:t>
      </w:r>
    </w:p>
    <w:p w:rsidR="00B73EA5" w:rsidRDefault="009B0D96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Правообладателю стало известно, ч</w:t>
      </w:r>
      <w:r>
        <w:t xml:space="preserve">то ООО «ИЗДАТЕЛЬСКИЙ ДОМ «АЛТАПРЕСС» (далее - Ответчик) незаконно использовало его путем публикации на сайте Ответчика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CD36B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D36B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altapress</w:t>
        </w:r>
        <w:r w:rsidRPr="00CD36B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D36B5">
        <w:rPr>
          <w:lang w:eastAsia="en-US" w:bidi="en-US"/>
        </w:rPr>
        <w:t xml:space="preserve"> </w:t>
      </w:r>
      <w:r>
        <w:t>(электронная ссылка на Произведение -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CD36B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D36B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altapress</w:t>
        </w:r>
        <w:r w:rsidRPr="00CD36B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D36B5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story</w:t>
        </w:r>
        <w:r w:rsidRPr="00CD36B5">
          <w:rPr>
            <w:rStyle w:val="a3"/>
            <w:lang w:eastAsia="en-US" w:bidi="en-US"/>
          </w:rPr>
          <w:t>/49188?</w:t>
        </w:r>
        <w:r>
          <w:rPr>
            <w:rStyle w:val="a3"/>
            <w:lang w:val="en-US" w:eastAsia="en-US" w:bidi="en-US"/>
          </w:rPr>
          <w:t>photo</w:t>
        </w:r>
        <w:r w:rsidRPr="00CD36B5">
          <w:rPr>
            <w:rStyle w:val="a3"/>
            <w:lang w:eastAsia="en-US" w:bidi="en-US"/>
          </w:rPr>
          <w:t>=9#</w:t>
        </w:r>
        <w:r>
          <w:rPr>
            <w:rStyle w:val="a3"/>
            <w:lang w:val="en-US" w:eastAsia="en-US" w:bidi="en-US"/>
          </w:rPr>
          <w:t>gallery</w:t>
        </w:r>
      </w:hyperlink>
      <w:r w:rsidRPr="00CD36B5">
        <w:rPr>
          <w:lang w:eastAsia="en-US" w:bidi="en-US"/>
        </w:rPr>
        <w:t>).</w:t>
      </w:r>
    </w:p>
    <w:p w:rsidR="00B73EA5" w:rsidRDefault="009B0D96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Факт использования и публикации Произведения был нотариально удостоверен нотариусом Химкинского нотариального округа Мос</w:t>
      </w:r>
      <w:r w:rsidR="00CD36B5">
        <w:t>ковской области Владимировой Е. И.</w:t>
      </w:r>
      <w:r>
        <w:t xml:space="preserve">, </w:t>
      </w:r>
      <w:r>
        <w:t>что подтверждается Протоколом осмотра веб-сайта в сети Интернет от 30.12.2013 г.</w:t>
      </w:r>
    </w:p>
    <w:p w:rsidR="00B73EA5" w:rsidRDefault="009B0D96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 xml:space="preserve">В соответствии со ст. 1257 ГК РФ автором произведения науки, литературы или искусства признается гражданин, творческим трудом которого оно создано. Лицо, указанное в качестве </w:t>
      </w:r>
      <w:r>
        <w:t xml:space="preserve">автора на оригинале или экземпляре произведения, считается его автором, если не доказано иное. Автором картины «Масленица. Проводы зимы. XVII век» является художник Кожин </w:t>
      </w:r>
      <w:r w:rsidR="00CD36B5">
        <w:t>С. Л</w:t>
      </w:r>
      <w:r>
        <w:t>.</w:t>
      </w:r>
    </w:p>
    <w:p w:rsidR="00B73EA5" w:rsidRDefault="009B0D96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Исключительное право на результат интеллектуальной деятельности, со</w:t>
      </w:r>
      <w:r>
        <w:t>зданный творческим трудом, первоначально возникает у его автора (п. 3 ст. 1228, п. 2 ст. 1255 ГК РФ).</w:t>
      </w:r>
    </w:p>
    <w:p w:rsidR="00CD36B5" w:rsidRDefault="009B0D96" w:rsidP="00CD36B5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Авторство Кожина С.Л. подтверждается, в числе прочего, опубликованием картины в книге «Семен Кожин», 2009 г., издательство «Белый город» (стр.59) и Энцикл</w:t>
      </w:r>
      <w:r>
        <w:t>опедии детского фольклора из серии «Моя первая книга» «Весна - красна, ты на чем пришла?», 2012 г., издательство «Белый город», стр.43.</w:t>
      </w:r>
    </w:p>
    <w:p w:rsidR="00B73EA5" w:rsidRDefault="009B0D96" w:rsidP="00CD36B5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В соответствии с п. 1 ст. 1233 ГК РФ правообладатель может распорядиться принадлежащим ему исключительным правом на ре</w:t>
      </w:r>
      <w:r>
        <w:t>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способом, в том числе путем его отчуждения по договору другому лицу (договор об отчуждении исключительного права).</w:t>
      </w:r>
      <w:r>
        <w:t xml:space="preserve"> 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</w:t>
      </w:r>
      <w:r>
        <w:lastRenderedPageBreak/>
        <w:t>объеме приобретателю такого права (ст. 1285 ГК РФ).</w:t>
      </w:r>
    </w:p>
    <w:p w:rsidR="00B73EA5" w:rsidRDefault="009B0D96">
      <w:pPr>
        <w:pStyle w:val="20"/>
        <w:shd w:val="clear" w:color="auto" w:fill="auto"/>
        <w:spacing w:before="0" w:after="0" w:line="320" w:lineRule="exact"/>
        <w:ind w:firstLine="620"/>
        <w:jc w:val="both"/>
      </w:pPr>
      <w:r>
        <w:t>Исключительн</w:t>
      </w:r>
      <w:r>
        <w:t>ое право на картину «Масленица. Проводы зимы. XVII век» было отчуждено ее автором - Кожиным С.Л. - Обществу с ограниченной ответственностью «РУЛЬФ» (далее - Истец) по договору об отчуждении исключительного права № 126-06-11 от 01 июня 2011 г. Таким образом</w:t>
      </w:r>
      <w:r>
        <w:t>, на настоящий момент исключительное право на картину «Масленица. Проводы зимы. XVII век» принадлежит Истцу.</w:t>
      </w:r>
    </w:p>
    <w:p w:rsidR="00B73EA5" w:rsidRDefault="009B0D96">
      <w:pPr>
        <w:pStyle w:val="20"/>
        <w:shd w:val="clear" w:color="auto" w:fill="auto"/>
        <w:spacing w:before="0" w:after="0" w:line="317" w:lineRule="exact"/>
        <w:ind w:firstLine="620"/>
        <w:jc w:val="both"/>
      </w:pPr>
      <w:r>
        <w:t>Автору произведения или иному правообладателю принадлежит исключительное право использовать произведение в соответствии со ст. 1229 ГК РФ в любой ф</w:t>
      </w:r>
      <w:r>
        <w:t>орме и любым не противоречащим закону способом (исключительное право на произведение), в том числе способами, указанными в п. 2 ст. 1270 ГК РФ.</w:t>
      </w:r>
    </w:p>
    <w:p w:rsidR="00B73EA5" w:rsidRDefault="009B0D96">
      <w:pPr>
        <w:pStyle w:val="20"/>
        <w:shd w:val="clear" w:color="auto" w:fill="auto"/>
        <w:spacing w:before="0" w:after="0" w:line="317" w:lineRule="exact"/>
        <w:ind w:firstLine="620"/>
        <w:jc w:val="both"/>
      </w:pPr>
      <w:r>
        <w:t xml:space="preserve">В соответствии с п. 1 ст. 1229 ГК РФ гражданин или юридическое лицо, обладающие исключительным правом на </w:t>
      </w:r>
      <w:r>
        <w:t>результат интеллектуальной деятельности или на средство индивидуализации (правообладатель), вправе использовать такой результат или такое средство по своему усмотрению любым не противоречащим закону способом. В частности правообладатель может по своему усм</w:t>
      </w:r>
      <w:r>
        <w:t>отрению разрешать или запрещать другим лицам использование результата интеллектуальной деятельности или средства индивидуализации. Отсутствие запрета не считается согласием (разрешением). Другие лица не могут использовать соответствующие результат интеллек</w:t>
      </w:r>
      <w:r>
        <w:t>туальной деятельности или средство индивидуализации без согласия правообладателя за исключением случаев, предусмотренных ГК РФ. Использование результата интеллектуальной деятельности или средства индивидуализации (в том числе их использование способами, пр</w:t>
      </w:r>
      <w:r>
        <w:t>едусмотренными ГК РФ), если такое использование осуществляется без согласия правообладателя, является незаконным и влечет ответственность, установленную ГК РФ, другими законами. Истец не передавал права, не предоставлял согласия на использование Произведен</w:t>
      </w:r>
      <w:r>
        <w:t>ия Ответчиком.</w:t>
      </w:r>
    </w:p>
    <w:p w:rsidR="00B73EA5" w:rsidRDefault="009B0D96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Интеллектуальные права защищаются способами, предусмотренными ГК РФ, с учетом существа нарушенного права и последствий нарушения этого права. Предусмотренные ГК РФ способы защиты интеллектуальных прав могут применяться по требованию правообл</w:t>
      </w:r>
      <w:r>
        <w:t>адателей, организаций по управлению правами на коллективной основе, а также иных лиц в случаях, установленных законом.</w:t>
      </w:r>
    </w:p>
    <w:p w:rsidR="00B73EA5" w:rsidRDefault="009B0D96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В соответствии со ст. 1301 ГК РФ в случаях нарушения исключительного права на произведение автор или иной правообладатель наряду с исполь</w:t>
      </w:r>
      <w:r>
        <w:t>зованием других применимых способов защиты и мер ответственности, установленных ГК РФ, вправе требовать по своему выбору от нарушителя вместо возмещения убытков выплаты компенсации в двукратном размере стоимости права использования произведения, определяем</w:t>
      </w:r>
      <w:r>
        <w:t>ой исходя из цены, которая при сравнимых обстоятельствах обычно взимается за правомерное использование произведения.</w:t>
      </w:r>
    </w:p>
    <w:p w:rsidR="00B73EA5" w:rsidRDefault="009B0D96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В соответствии с п. 43.4 Постановления Пленума Верховного Суда РФ № 5, Пленума ВАС РФ № 29 от 26.03.2009 «О некоторых вопросах, возникших в</w:t>
      </w:r>
      <w:r>
        <w:t xml:space="preserve"> связи с</w:t>
      </w:r>
      <w:r>
        <w:br w:type="page"/>
      </w:r>
      <w:r>
        <w:lastRenderedPageBreak/>
        <w:t>введением в действие части четвертой Гражданского кодекса Российской Федерации» если правообладателем заявлено требование о выплате компенсации в двукратном размере стоимости права использования произведения, определяемой исходя из цены, которая п</w:t>
      </w:r>
      <w:r>
        <w:t>ри сравнимых обстоятельствах обычно взимается за правомерное их использование, то при определении размера компенсаций за основу следует принимать вознаграждение, обусловленное лицензионным договором, предусматривающим простую (неисключительную) лицензию, н</w:t>
      </w:r>
      <w:r>
        <w:t>а момент совершения нарушения.</w:t>
      </w:r>
    </w:p>
    <w:p w:rsidR="00B73EA5" w:rsidRDefault="009B0D96">
      <w:pPr>
        <w:pStyle w:val="20"/>
        <w:shd w:val="clear" w:color="auto" w:fill="auto"/>
        <w:spacing w:before="0" w:after="0" w:line="320" w:lineRule="exact"/>
        <w:ind w:firstLine="600"/>
        <w:jc w:val="both"/>
      </w:pPr>
      <w:r>
        <w:t xml:space="preserve">Между Истцом и ООО «АЕ Компани» был заключен лицензионный договор от 17 октября 2013 г., в соответствии с п. 2.1, которого Истец (Лицензиар) предоставил ООО «АЕ Компани» (Лицензиат) право на использование картины «Масленица. </w:t>
      </w:r>
      <w:r>
        <w:t>Проводы зимы. XVII век» путем изготовления репродукций (постеров) Произведения любым способом печати и их продажу, а также размещения произведения (изображения картины) на веб-сайтах в информационной сети «Интернет».</w:t>
      </w:r>
    </w:p>
    <w:p w:rsidR="00B73EA5" w:rsidRDefault="009B0D96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В соответствии с п. 3.1. указанного лиц</w:t>
      </w:r>
      <w:r>
        <w:t>ензионного договора стоимость передаваемых прав составляет 600 000 (шестьсот тысяч) руб. 00 коп.</w:t>
      </w:r>
    </w:p>
    <w:p w:rsidR="00B73EA5" w:rsidRDefault="009B0D96">
      <w:pPr>
        <w:pStyle w:val="20"/>
        <w:shd w:val="clear" w:color="auto" w:fill="auto"/>
        <w:spacing w:before="0" w:after="0" w:line="320" w:lineRule="exact"/>
        <w:ind w:firstLine="600"/>
        <w:jc w:val="both"/>
      </w:pPr>
      <w:r>
        <w:t xml:space="preserve">Ответчик нарушает исключительное право Истца, осуществляя бездоговорное использование картины «Масленица. Проводы зимы. XVII век» путем доведения произведения </w:t>
      </w:r>
      <w:r>
        <w:t>до всеобщего сведения путем публикации на веб-сайте в сети «Интернет».</w:t>
      </w:r>
    </w:p>
    <w:p w:rsidR="00B73EA5" w:rsidRDefault="009B0D96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 xml:space="preserve">Таким образом, Истец (правообладатель) вправе требовать с Ответчика двойную стоимость прав, переданных по лицензионному договору от 17 октября 2013 г., что составляет </w:t>
      </w:r>
      <w:r>
        <w:rPr>
          <w:rStyle w:val="21"/>
        </w:rPr>
        <w:t>1 200 000 (один ми</w:t>
      </w:r>
      <w:r>
        <w:rPr>
          <w:rStyle w:val="21"/>
        </w:rPr>
        <w:t>ллион двести тысяч) рублей.</w:t>
      </w:r>
    </w:p>
    <w:p w:rsidR="00B73EA5" w:rsidRDefault="009B0D96">
      <w:pPr>
        <w:pStyle w:val="20"/>
        <w:shd w:val="clear" w:color="auto" w:fill="auto"/>
        <w:spacing w:before="0" w:after="306" w:line="320" w:lineRule="exact"/>
        <w:ind w:firstLine="760"/>
        <w:jc w:val="both"/>
      </w:pPr>
      <w:r>
        <w:t>На основании изложенного выше и в соответствии с п. 1 ст. 1229, п. 1 ст. 1233, п. 1 и п. 2 ст. 1270, ст. 1285, ст. 1301 ГК РФ; ст. 125, ст. 126 АПК РФ,</w:t>
      </w:r>
    </w:p>
    <w:p w:rsidR="00B73EA5" w:rsidRDefault="009B0D96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ПРОШУ:</w:t>
      </w:r>
      <w:bookmarkEnd w:id="0"/>
    </w:p>
    <w:p w:rsidR="00B73EA5" w:rsidRDefault="009B0D96">
      <w:pPr>
        <w:pStyle w:val="20"/>
        <w:shd w:val="clear" w:color="auto" w:fill="auto"/>
        <w:spacing w:before="0" w:after="92" w:line="313" w:lineRule="exact"/>
        <w:ind w:firstLine="600"/>
        <w:jc w:val="both"/>
      </w:pPr>
      <w:r>
        <w:t>- Взыскать с Общества с ограниченной ответственностью «ИЗДАТЕЛЬСКИЙ Д</w:t>
      </w:r>
      <w:r>
        <w:t>ОМ «АЛТАПРЕСС» в пользу Общества с ограниченной ответственностью «РУЛЬФ» компенсацию за нарушение исключительных прав на произведение в размере 1 200 000 (Один миллион двести тысяч) рублей 00 копеек.</w:t>
      </w:r>
    </w:p>
    <w:p w:rsidR="00B73EA5" w:rsidRDefault="009B0D96">
      <w:pPr>
        <w:pStyle w:val="10"/>
        <w:keepNext/>
        <w:keepLines/>
        <w:shd w:val="clear" w:color="auto" w:fill="auto"/>
        <w:spacing w:before="0" w:line="274" w:lineRule="exact"/>
        <w:ind w:firstLine="600"/>
        <w:jc w:val="both"/>
      </w:pPr>
      <w:bookmarkStart w:id="1" w:name="bookmark1"/>
      <w:r>
        <w:t>Приложения:</w:t>
      </w:r>
      <w:bookmarkEnd w:id="1"/>
    </w:p>
    <w:p w:rsidR="00B73EA5" w:rsidRDefault="009B0D9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  <w:jc w:val="both"/>
      </w:pPr>
      <w:r>
        <w:t xml:space="preserve">Копия почтовой квитанции о направлении </w:t>
      </w:r>
      <w:r>
        <w:t>Ответчику копии искового заявления и приложений к нему.</w:t>
      </w:r>
    </w:p>
    <w:p w:rsidR="00B73EA5" w:rsidRDefault="009B0D9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  <w:jc w:val="both"/>
      </w:pPr>
      <w:r>
        <w:t>Ходатайство об отсрочке уплаты гос. пошлины в 1 экз. на 1 л.</w:t>
      </w:r>
    </w:p>
    <w:p w:rsidR="00B73EA5" w:rsidRDefault="009B0D9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  <w:jc w:val="both"/>
      </w:pPr>
      <w:r>
        <w:t>Копия Договора об отчуждении исключительного права № 126-06-11 от 01 июня 201.1 г.</w:t>
      </w:r>
    </w:p>
    <w:p w:rsidR="00B73EA5" w:rsidRDefault="009B0D9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  <w:jc w:val="both"/>
      </w:pPr>
      <w:r>
        <w:t>Копия Лицензионного договора от 17 октября 2013 г.</w:t>
      </w:r>
    </w:p>
    <w:p w:rsidR="00B73EA5" w:rsidRDefault="009B0D9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  <w:jc w:val="both"/>
      </w:pPr>
      <w:r>
        <w:t>Копии</w:t>
      </w:r>
      <w:r>
        <w:t xml:space="preserve"> страниц из книг публикации Произведения.</w:t>
      </w:r>
    </w:p>
    <w:p w:rsidR="00B73EA5" w:rsidRDefault="009B0D9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  <w:jc w:val="both"/>
      </w:pPr>
      <w:r>
        <w:t>Копия протокола осмотра веб-сайта в сети Интернет на 11 л. в 1 экз.</w:t>
      </w:r>
    </w:p>
    <w:p w:rsidR="00B73EA5" w:rsidRDefault="009B0D9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  <w:jc w:val="both"/>
      </w:pPr>
      <w:r>
        <w:t>Копия Свидетельства о государственной регистрации Истца.</w:t>
      </w:r>
    </w:p>
    <w:p w:rsidR="00B73EA5" w:rsidRDefault="009B0D9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  <w:jc w:val="both"/>
      </w:pPr>
      <w:r>
        <w:t>Копия Выписки из ЕГРЮЛ на Истца.</w:t>
      </w:r>
    </w:p>
    <w:p w:rsidR="00B73EA5" w:rsidRDefault="009B0D96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  <w:jc w:val="both"/>
      </w:pPr>
      <w:r>
        <w:t>Копия Выписки из ЕГРЮЛ на Ответчика.</w:t>
      </w:r>
    </w:p>
    <w:p w:rsidR="00B73EA5" w:rsidRDefault="009B0D96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4" w:lineRule="exact"/>
        <w:ind w:firstLine="600"/>
        <w:jc w:val="both"/>
        <w:sectPr w:rsidR="00B73EA5">
          <w:pgSz w:w="11900" w:h="16840"/>
          <w:pgMar w:top="1397" w:right="658" w:bottom="281" w:left="1780" w:header="0" w:footer="3" w:gutter="0"/>
          <w:cols w:space="720"/>
          <w:noEndnote/>
          <w:docGrid w:linePitch="360"/>
        </w:sectPr>
      </w:pPr>
      <w:r>
        <w:t>Копия доверенности на представителя с правом подписания искового заявления.</w:t>
      </w:r>
    </w:p>
    <w:p w:rsidR="00B73EA5" w:rsidRDefault="00B73EA5">
      <w:pPr>
        <w:spacing w:line="144" w:lineRule="exact"/>
        <w:rPr>
          <w:sz w:val="12"/>
          <w:szCs w:val="12"/>
        </w:rPr>
      </w:pPr>
    </w:p>
    <w:p w:rsidR="00B73EA5" w:rsidRDefault="00B73EA5">
      <w:pPr>
        <w:rPr>
          <w:sz w:val="2"/>
          <w:szCs w:val="2"/>
        </w:rPr>
        <w:sectPr w:rsidR="00B73EA5">
          <w:type w:val="continuous"/>
          <w:pgSz w:w="11900" w:h="16840"/>
          <w:pgMar w:top="1685" w:right="0" w:bottom="803" w:left="0" w:header="0" w:footer="3" w:gutter="0"/>
          <w:cols w:space="720"/>
          <w:noEndnote/>
          <w:docGrid w:linePitch="360"/>
        </w:sectPr>
      </w:pPr>
    </w:p>
    <w:p w:rsidR="00CD36B5" w:rsidRPr="00CD36B5" w:rsidRDefault="00CD36B5" w:rsidP="00CD36B5">
      <w:pPr>
        <w:spacing w:line="360" w:lineRule="exact"/>
      </w:pPr>
      <w:bookmarkStart w:id="2" w:name="_GoBack"/>
      <w:bookmarkEnd w:id="2"/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4065270</wp:posOffset>
                </wp:positionH>
                <wp:positionV relativeFrom="paragraph">
                  <wp:posOffset>600075</wp:posOffset>
                </wp:positionV>
                <wp:extent cx="100330" cy="127000"/>
                <wp:effectExtent l="2540" t="3175" r="190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EA5" w:rsidRDefault="00B73EA5">
                            <w:pPr>
                              <w:pStyle w:val="22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1pt;margin-top:47.25pt;width:7.9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yIrQIAAKg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OMRI0BYoemKDQfdyQJHtTt/pBJweO3AzA2wDy65S3T3I4qtGQq5rKnbsTinZ14yWkF1gb/oXV0cc&#10;bUG2/QdZQhi6N9IBDZVqbeugGQjQgaXnEzM2lcKGJOT6Gk4KOArCBSGOOZ8m0+VOafOOyRZZI8UK&#10;iHfg9PCgjU2GJpOLjSVkzpvGkd+IFxvgOO5AaLhqz2wSjssfMYk3y80y8qJwvvEikmXeXb6OvHke&#10;LGbZdbZeZ8FPGzeIkpqXJRM2zKSrIPoz3o4KHxVxUpaWDS8tnE1Jq9123Sh0oKDr3H2u5XBydvNf&#10;puGaALW8KikII3Ifxl4+Xy68KI9mXrwgS48E8X08J1EcZfnLkh64YP9eEupTHM/C2ailc9KvagOm&#10;z2Rf1EaTlhuYHA1vU7w8OdHEKnAjSketobwZ7YtW2PTPrQC6J6KdXq1ER7GaYTsAihXxVpbPoFwl&#10;QVkgQhh3YNRSfceoh9GRYv1tTxXDqHkvQP12zkyGmoztZFBRwNUUG4xGc23GebTvFN/VgDy9rzt4&#10;ITl36j1ncXxXMA5cEcfRZefN5b/zOg/Y1S8AAAD//wMAUEsDBBQABgAIAAAAIQBX+PnG3QAAAAoB&#10;AAAPAAAAZHJzL2Rvd25yZXYueG1sTI/BTsMwDIbvSLxDZCQuaEtTbRUrTSeE4MKNwYVb1nhtReJU&#10;TdaWPT3mBEfbn35/f7VfvBMTjrEPpEGtMxBITbA9tRo+3l9W9yBiMmSNC4QavjHCvr6+qkxpw0xv&#10;OB1SKziEYmk0dCkNpZSx6dCbuA4DEt9OYfQm8Ti20o5m5nDvZJ5lhfSmJ/7QmQGfOmy+DmevoVie&#10;h7vXHebzpXETfV6USqi0vr1ZHh9AJFzSHwy/+qwONTsdw5lsFI4zNlnOqIbdZguCgWJbcLkjk4o3&#10;sq7k/wr1DwAAAP//AwBQSwECLQAUAAYACAAAACEAtoM4kv4AAADhAQAAEwAAAAAAAAAAAAAAAAAA&#10;AAAAW0NvbnRlbnRfVHlwZXNdLnhtbFBLAQItABQABgAIAAAAIQA4/SH/1gAAAJQBAAALAAAAAAAA&#10;AAAAAAAAAC8BAABfcmVscy8ucmVsc1BLAQItABQABgAIAAAAIQDm+EyIrQIAAKgFAAAOAAAAAAAA&#10;AAAAAAAAAC4CAABkcnMvZTJvRG9jLnhtbFBLAQItABQABgAIAAAAIQBX+PnG3QAAAAoBAAAPAAAA&#10;AAAAAAAAAAAAAAcFAABkcnMvZG93bnJldi54bWxQSwUGAAAAAAQABADzAAAAEQYAAAAA&#10;" filled="f" stroked="f">
                <v:textbox style="mso-fit-shape-to-text:t" inset="0,0,0,0">
                  <w:txbxContent>
                    <w:p w:rsidR="00B73EA5" w:rsidRDefault="00B73EA5">
                      <w:pPr>
                        <w:pStyle w:val="22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4371340</wp:posOffset>
                </wp:positionH>
                <wp:positionV relativeFrom="paragraph">
                  <wp:posOffset>610870</wp:posOffset>
                </wp:positionV>
                <wp:extent cx="98425" cy="107950"/>
                <wp:effectExtent l="3810" t="4445" r="254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EA5" w:rsidRDefault="00B73EA5">
                            <w:pPr>
                              <w:pStyle w:val="31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4.2pt;margin-top:48.1pt;width:7.75pt;height:8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PRrQIAAK4FAAAOAAAAZHJzL2Uyb0RvYy54bWysVF1vmzAUfZ+0/2D5nQIZSQCVVG0I06Tu&#10;Q2r3AxwwwRrYnu0Eumn/fdcmJE37Mm3jwbrY1+d+nON7fTN0LTpQpZngGQ6vAowoL0XF+C7DXx8L&#10;L8ZIG8Ir0gpOM/xENb5ZvX1z3cuUzkQj2ooqBCBcp73McGOMTH1flw3tiL4SknI4rIXqiIFftfMr&#10;RXpA71p/FgQLvxeqkkqUVGvYzcdDvHL4dU1L87muNTWozTDkZtyq3Lq1q7+6JulOEdmw8pgG+Yss&#10;OsI4BD1B5cQQtFfsFVTHSiW0qM1VKTpf1DUrqasBqgmDF9U8NERSVws0R8tTm/T/gy0/Hb4oxCrg&#10;DiNOOqDokQ4G3YkBzW13eqlTcHqQ4GYG2LaetlIt70X5TSMu1g3hO3qrlOgbSirILrQ3/WdXRxxt&#10;Qbb9R1FBGLI3wgENteosIDQDATqw9HRixqZSwmYSR7M5RiWchMEymTvifJJOd6XS5j0VHbJGhhXw&#10;7rDJ4V4bmwtJJxcbiouCta3jvuUXG+A47kBkuGrPbA6Oyp9JkGziTRx50Wyx8aIgz73bYh15iyJc&#10;zvN3+Xqdh79s3DBKG1ZVlNswk6zC6M9oOwp8FMRJWFq0rLJwNiWtdtt1q9CBgKwL97mOw8nZzb9M&#10;wzUBanlRUjiLgrtZ4hWLeOlFRTT3kmUQe0GY3CWLIEqivLgs6Z5x+u8loR5InQOnrpxz0i9qC9z3&#10;ujaSdszA4GhZl+H45ERSK8ANrxy1hrB2tJ+1wqZ/bgXQPRHt5GoVOmrVDNvh+C4AzEp5K6on0K8S&#10;IDAQKQw9MBqhfmDUwwDJsP6+J4pi1H7g8AbstJkMNRnbySC8hKsZNhiN5tqMU2kvFds1gDy9slt4&#10;JwVzIj5ncXxdMBRcLccBZqfO83/ndR6zq98AAAD//wMAUEsDBBQABgAIAAAAIQBjOSHW3AAAAAoB&#10;AAAPAAAAZHJzL2Rvd25yZXYueG1sTI/BToQwEEDvJv5DMyZejFtgDQJSNsboxZurF29dOgKxnRLa&#10;Bdyvdzy5x8m8vHlT71ZnxYxTGDwpSDcJCKTWm4E6BR/vL7cFiBA1GW09oYIfDLBrLi9qXRm/0BvO&#10;+9gJllCotII+xrGSMrQ9Oh02fkTi3ZefnI48Tp00k15Y7qzMkiSXTg/EF3o94lOP7ff+6BTk6/N4&#10;81pitpxaO9PnKU0jpkpdX62PDyAirvEfhr98ToeGmw7+SCYIy46iuGNUQZlnIBi4T7YliAOT6TYD&#10;2dTy/IXmFwAA//8DAFBLAQItABQABgAIAAAAIQC2gziS/gAAAOEBAAATAAAAAAAAAAAAAAAAAAAA&#10;AABbQ29udGVudF9UeXBlc10ueG1sUEsBAi0AFAAGAAgAAAAhADj9If/WAAAAlAEAAAsAAAAAAAAA&#10;AAAAAAAALwEAAF9yZWxzLy5yZWxzUEsBAi0AFAAGAAgAAAAhAPN5U9GtAgAArgUAAA4AAAAAAAAA&#10;AAAAAAAALgIAAGRycy9lMm9Eb2MueG1sUEsBAi0AFAAGAAgAAAAhAGM5IdbcAAAACgEAAA8AAAAA&#10;AAAAAAAAAAAABwUAAGRycy9kb3ducmV2LnhtbFBLBQYAAAAABAAEAPMAAAAQBgAAAAA=&#10;" filled="f" stroked="f">
                <v:textbox style="mso-fit-shape-to-text:t" inset="0,0,0,0">
                  <w:txbxContent>
                    <w:p w:rsidR="00B73EA5" w:rsidRDefault="00B73EA5">
                      <w:pPr>
                        <w:pStyle w:val="31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3EA5" w:rsidRPr="00CD36B5" w:rsidRDefault="00B73EA5" w:rsidP="00CD36B5">
      <w:pPr>
        <w:tabs>
          <w:tab w:val="left" w:pos="6360"/>
        </w:tabs>
      </w:pPr>
    </w:p>
    <w:sectPr w:rsidR="00B73EA5" w:rsidRPr="00CD36B5">
      <w:type w:val="continuous"/>
      <w:pgSz w:w="11900" w:h="16840"/>
      <w:pgMar w:top="1685" w:right="777" w:bottom="803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96" w:rsidRDefault="009B0D96">
      <w:r>
        <w:separator/>
      </w:r>
    </w:p>
  </w:endnote>
  <w:endnote w:type="continuationSeparator" w:id="0">
    <w:p w:rsidR="009B0D96" w:rsidRDefault="009B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96" w:rsidRDefault="009B0D96"/>
  </w:footnote>
  <w:footnote w:type="continuationSeparator" w:id="0">
    <w:p w:rsidR="009B0D96" w:rsidRDefault="009B0D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6F4"/>
    <w:multiLevelType w:val="multilevel"/>
    <w:tmpl w:val="E8DCB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A5"/>
    <w:rsid w:val="009B0D96"/>
    <w:rsid w:val="00B73EA5"/>
    <w:rsid w:val="00C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EAB1A-38B8-4A7D-90EA-D36DF13E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ind w:hanging="6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press.ru/story/49188?photo=9%23gall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a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2015-08-31T07:56:00Z</dcterms:created>
  <dcterms:modified xsi:type="dcterms:W3CDTF">2015-08-31T08:01:00Z</dcterms:modified>
</cp:coreProperties>
</file>